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9D" w:rsidRDefault="00C454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549D" w:rsidRDefault="00C4549D">
      <w:pPr>
        <w:pStyle w:val="ConsPlusNormal"/>
        <w:jc w:val="both"/>
        <w:outlineLvl w:val="0"/>
      </w:pPr>
    </w:p>
    <w:p w:rsidR="00C4549D" w:rsidRDefault="00C4549D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C4549D" w:rsidRDefault="00C4549D">
      <w:pPr>
        <w:pStyle w:val="ConsPlusNormal"/>
        <w:jc w:val="both"/>
      </w:pPr>
    </w:p>
    <w:p w:rsidR="00C4549D" w:rsidRDefault="00C4549D">
      <w:pPr>
        <w:pStyle w:val="ConsPlusTitle"/>
        <w:jc w:val="center"/>
      </w:pPr>
      <w:r>
        <w:t>СУДЕБНАЯ ПРАКТИКА ПО ЗАКОНУ N 44-ФЗ:</w:t>
      </w:r>
    </w:p>
    <w:p w:rsidR="00C4549D" w:rsidRDefault="00C4549D">
      <w:pPr>
        <w:pStyle w:val="ConsPlusTitle"/>
        <w:jc w:val="center"/>
      </w:pPr>
      <w:r>
        <w:t>ОБЗОР ЗА 5 - 9 АВГУСТА</w:t>
      </w:r>
    </w:p>
    <w:p w:rsidR="00C4549D" w:rsidRDefault="00C4549D">
      <w:pPr>
        <w:pStyle w:val="ConsPlusNormal"/>
      </w:pPr>
    </w:p>
    <w:p w:rsidR="00C4549D" w:rsidRDefault="00C4549D">
      <w:pPr>
        <w:pStyle w:val="ConsPlusNormal"/>
        <w:ind w:firstLine="540"/>
        <w:jc w:val="both"/>
      </w:pPr>
      <w:r>
        <w:t>Мы отобрали шесть постановлений, включенных в систему КонсультантПлюс на прошлой неделе. Можно ли возместить убытки из-за незаконного решения УФАС, удастся ли взыскать оплату дополнительных строительных работ, можно ли указывать конкретную дозировку препарата - вот некоторые вопросы, затронутые в обзоре.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Title"/>
        <w:ind w:firstLine="540"/>
        <w:jc w:val="both"/>
        <w:outlineLvl w:val="0"/>
      </w:pPr>
      <w:r>
        <w:t>Участникам закупки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  <w:outlineLvl w:val="1"/>
      </w:pPr>
      <w:r>
        <w:rPr>
          <w:b/>
        </w:rPr>
        <w:t>Можно взыскать убытки, причиненные незаконным решением УФАС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УФАС отменило результаты аукциона на поставку операционных столов и обязало заказчика провести его заново. Победитель аукциона </w:t>
      </w:r>
      <w:hyperlink r:id="rId6" w:history="1">
        <w:r>
          <w:rPr>
            <w:color w:val="0000FF"/>
          </w:rPr>
          <w:t>оспорил решение УФАС</w:t>
        </w:r>
      </w:hyperlink>
      <w:r>
        <w:t xml:space="preserve"> в суде, но, пока шло разбирательство, заказчик заключил контра</w:t>
      </w:r>
      <w:proofErr w:type="gramStart"/>
      <w:r>
        <w:t>кт с др</w:t>
      </w:r>
      <w:proofErr w:type="gramEnd"/>
      <w:r>
        <w:t>угим участником.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По мнению первоначального победителя, раз контракт с ним не заключен по вине УФАС, ведомство должно компенсировать </w:t>
      </w:r>
      <w:hyperlink r:id="rId7" w:history="1">
        <w:r>
          <w:rPr>
            <w:color w:val="0000FF"/>
          </w:rPr>
          <w:t>убытки</w:t>
        </w:r>
      </w:hyperlink>
      <w:r>
        <w:t>: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- неполученную прибыль;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- неустойку, которую первоначальный победитель был вынужден заплатить за возврат операционных столов, закупленных для исполнения контракта.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Суд удовлетворил требование и взыскал убытки на сумму более 4 </w:t>
      </w:r>
      <w:proofErr w:type="gramStart"/>
      <w:r>
        <w:t>млн</w:t>
      </w:r>
      <w:proofErr w:type="gramEnd"/>
      <w:r>
        <w:t xml:space="preserve"> руб.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Восточно-Сибирского округа от 22.07.2019 по делу N А33-25139/2015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  <w:outlineLvl w:val="1"/>
      </w:pPr>
      <w:r>
        <w:rPr>
          <w:b/>
        </w:rPr>
        <w:t>Непредвиденные дополнительные строительные работы подлежат оплате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После заключения контракта на строительство спорткомплекса оказалось, что ранее построенный фундамент нужно укреплять. Заказчик поручил это подрядчику дополнительно к работам, предусмотренным контрактом. Кроме того, подрядчику пришлось корректировать проектную документацию.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Окружной суд, взыскивая оплату дополнительных работ, опирался на точку зрения Верховного Суда. Согласно его </w:t>
      </w:r>
      <w:hyperlink r:id="rId9" w:history="1">
        <w:r>
          <w:rPr>
            <w:color w:val="0000FF"/>
          </w:rPr>
          <w:t>позиции</w:t>
        </w:r>
      </w:hyperlink>
      <w:r>
        <w:t xml:space="preserve"> дополнительные работы, цена которых превышает 10% цены контракта, подлежат оплате, если: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- их нельзя было учесть в документации о закупке и без них невозможно завершить учтенные работы;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- невыполнение этих работ негативно влияет на годность и прочность результата основных работ;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- они не могли быть выполнены иным лицом без увеличения их стоимости.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Эти условия должны соблюдаться одновременно.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0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01.08.2019 по делу N А41-63379/2018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Рекомендуем: </w:t>
      </w:r>
      <w:hyperlink r:id="rId11" w:history="1">
        <w:r>
          <w:rPr>
            <w:i/>
            <w:color w:val="0000FF"/>
          </w:rPr>
          <w:t>Верховный Суд расставил точки над i в спорных вопросах по госзакупкам</w:t>
        </w:r>
      </w:hyperlink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  <w:outlineLvl w:val="1"/>
      </w:pPr>
      <w:r>
        <w:rPr>
          <w:b/>
        </w:rPr>
        <w:t>Можно взыскать оплату без контракта, если стоимость товара не превышает 300 тыс. руб.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Заказчик принял товар стоимостью 95 тыс. руб. без контракта, но оплачивать его не стал, сославшись на </w:t>
      </w:r>
      <w:hyperlink r:id="rId12" w:history="1">
        <w:r>
          <w:rPr>
            <w:color w:val="0000FF"/>
          </w:rPr>
          <w:t>обзор практики ВС РФ</w:t>
        </w:r>
      </w:hyperlink>
      <w:r>
        <w:t>. В нем сказано, что поставка товаров в отсутствие контракта не порождает право требовать их оплаты.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Суд взыскал с заказчика оплату и проценты за пользование чужими денежными средствами. Он исходил из того, что спорная поставка не требовала проведения конкурентной закупки. На такую поставку распространяется </w:t>
      </w:r>
      <w:hyperlink r:id="rId13" w:history="1">
        <w:r>
          <w:rPr>
            <w:color w:val="0000FF"/>
          </w:rPr>
          <w:t>п. 4 ч. 1 ст. 93</w:t>
        </w:r>
      </w:hyperlink>
      <w:r>
        <w:t xml:space="preserve"> Закона N 44-ФЗ. Контракт в этой ситуации </w:t>
      </w:r>
      <w:hyperlink r:id="rId14" w:history="1">
        <w:r>
          <w:rPr>
            <w:color w:val="0000FF"/>
          </w:rPr>
          <w:t>можно заключить</w:t>
        </w:r>
      </w:hyperlink>
      <w:r>
        <w:t xml:space="preserve"> в любой форме, предусмотренной ГК РФ. Заказчик принял товар, поэтому он </w:t>
      </w:r>
      <w:hyperlink r:id="rId15" w:history="1">
        <w:r>
          <w:rPr>
            <w:color w:val="0000FF"/>
          </w:rPr>
          <w:t>не вправе</w:t>
        </w:r>
      </w:hyperlink>
      <w:r>
        <w:t xml:space="preserve"> требовать признания договора незаключенным.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Напомним, что с 1 июля предельный размер одной закупки у единственного поставщика по </w:t>
      </w:r>
      <w:hyperlink r:id="rId16" w:history="1">
        <w:r>
          <w:rPr>
            <w:color w:val="0000FF"/>
          </w:rPr>
          <w:t>п. 4 ч. 1 ст. 93</w:t>
        </w:r>
      </w:hyperlink>
      <w:r>
        <w:t xml:space="preserve"> Закона N 44-ФЗ вырос с 100 тыс. до </w:t>
      </w:r>
      <w:hyperlink r:id="rId17" w:history="1">
        <w:r>
          <w:rPr>
            <w:color w:val="0000FF"/>
          </w:rPr>
          <w:t>300 тыс. руб</w:t>
        </w:r>
      </w:hyperlink>
      <w:r>
        <w:t>.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30.07.2019 по делу N А41-43261/2018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Title"/>
        <w:ind w:firstLine="540"/>
        <w:jc w:val="both"/>
        <w:outlineLvl w:val="0"/>
      </w:pPr>
      <w:r>
        <w:t>Заказчикам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  <w:outlineLvl w:val="1"/>
      </w:pPr>
      <w:r>
        <w:rPr>
          <w:b/>
        </w:rPr>
        <w:t>Право на односторонний отказ должно быть прямо указано в контракте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В контракте было установлено, что его расторжение возможно по соглашению сторон и в судебном порядке на основании и в порядке, предусмотренном </w:t>
      </w:r>
      <w:hyperlink r:id="rId19" w:history="1">
        <w:r>
          <w:rPr>
            <w:color w:val="0000FF"/>
          </w:rPr>
          <w:t>ГК</w:t>
        </w:r>
      </w:hyperlink>
      <w:r>
        <w:t xml:space="preserve"> РФ и </w:t>
      </w:r>
      <w:hyperlink r:id="rId20" w:history="1">
        <w:r>
          <w:rPr>
            <w:color w:val="0000FF"/>
          </w:rPr>
          <w:t>ст. 95</w:t>
        </w:r>
      </w:hyperlink>
      <w:r>
        <w:t xml:space="preserve"> Закона N 44-ФЗ.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Исполнитель нарушил контракт, и заказчик посчитал, что вправе отказаться от его исполнения в одностороннем порядке.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Суд признал решение заказчика незаконным, поскольку указанное условие контракта не дает права на односторонний отказ.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Северо-Кавказского округа от 29.05.2019 по делу N А15-1948/2018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  <w:outlineLvl w:val="1"/>
      </w:pPr>
      <w:r>
        <w:rPr>
          <w:b/>
        </w:rPr>
        <w:t>Требования к лекарствам могут учитывать специфику лечебного процесса и работы учреждения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Антимонопольный орган признал нарушением требование поставить лекарство в дозировке 0,25 г + 0,25 г без возможности его поставки в кратных дозировках.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В суде заказчик обосновал необходимость такой дозировки спецификой лечебного процесса. Некоторые пациенты нуждаются в дозах препарата ниже стандартных (например, пациенты с нарушением функции почек или весом от 30 до 50 кг). Препарат не хранится после вскрытия, и при других дозировках учреждение понесет дополнительные расходы.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>Суд встал на сторону заказчика. В государственном реестре лекарственных средств имеется минимум шесть торговых наименований препарата с нужной заказчику дозировкой. Заказчик не ограничил конкуренцию.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2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Северо-Кавказского округа от 22.05.2019 по делу N А63-13344/2018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t xml:space="preserve">УФАС </w:t>
      </w:r>
      <w:hyperlink r:id="rId23" w:history="1">
        <w:r>
          <w:rPr>
            <w:color w:val="0000FF"/>
          </w:rPr>
          <w:t>признало неправомерным</w:t>
        </w:r>
      </w:hyperlink>
      <w:r>
        <w:t xml:space="preserve"> требование заказчика поставить препарат в первичной </w:t>
      </w:r>
      <w:r>
        <w:lastRenderedPageBreak/>
        <w:t>упаковке по 4 мл. По мнению ведомства, это ограничило количество возможных участников, так как объем наполнения первичной упаковки не относится к терапевтически значимым характеристикам. Кроме того, препарат в такой упаковке выпускает только один производитель.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Суд признал решение УФАС незаконным. Заказчик </w:t>
      </w:r>
      <w:hyperlink r:id="rId24" w:history="1">
        <w:r>
          <w:rPr>
            <w:color w:val="0000FF"/>
          </w:rPr>
          <w:t>обосновал</w:t>
        </w:r>
      </w:hyperlink>
      <w:r>
        <w:t xml:space="preserve"> свою потребность особенностями приема препарата и спецификой учреждения: это единственная больница в округе, оказывающая помощь детям, больным муковисцидозом.</w:t>
      </w:r>
    </w:p>
    <w:p w:rsidR="00C4549D" w:rsidRDefault="00C4549D">
      <w:pPr>
        <w:pStyle w:val="ConsPlusNormal"/>
        <w:spacing w:before="220"/>
        <w:ind w:firstLine="540"/>
        <w:jc w:val="both"/>
      </w:pPr>
      <w:r>
        <w:t xml:space="preserve">Суд подчеркнул, что заказчик </w:t>
      </w:r>
      <w:hyperlink r:id="rId25" w:history="1">
        <w:r>
          <w:rPr>
            <w:color w:val="0000FF"/>
          </w:rPr>
          <w:t>вправе указать</w:t>
        </w:r>
      </w:hyperlink>
      <w:r>
        <w:t xml:space="preserve"> объем первичной упаковки, если нет другой возможности описать нужные характеристики. В документации надо обосновать такую потребность.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23.07.2019 по делу N А75-14637/2018</w:t>
      </w:r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Рекомендуем: </w:t>
      </w:r>
      <w:hyperlink r:id="rId27" w:history="1">
        <w:r>
          <w:rPr>
            <w:i/>
            <w:color w:val="0000FF"/>
          </w:rPr>
          <w:t>Как закупить лекарственные средства по Закону N 44-ФЗ</w:t>
        </w:r>
      </w:hyperlink>
    </w:p>
    <w:p w:rsidR="00C4549D" w:rsidRDefault="00C4549D">
      <w:pPr>
        <w:pStyle w:val="ConsPlusNormal"/>
        <w:ind w:firstLine="540"/>
        <w:jc w:val="both"/>
      </w:pPr>
    </w:p>
    <w:p w:rsidR="00C4549D" w:rsidRDefault="00C4549D">
      <w:pPr>
        <w:pStyle w:val="ConsPlusNormal"/>
        <w:ind w:firstLine="540"/>
        <w:jc w:val="both"/>
      </w:pPr>
      <w:r>
        <w:rPr>
          <w:i/>
        </w:rPr>
        <w:t xml:space="preserve">Предыдущий обзор практики </w:t>
      </w:r>
      <w:hyperlink r:id="rId28" w:history="1">
        <w:r>
          <w:rPr>
            <w:i/>
            <w:color w:val="0000FF"/>
          </w:rPr>
          <w:t>смотрите здесь</w:t>
        </w:r>
      </w:hyperlink>
      <w:r>
        <w:rPr>
          <w:i/>
        </w:rPr>
        <w:t>.</w:t>
      </w:r>
    </w:p>
    <w:p w:rsidR="00C4549D" w:rsidRDefault="00C4549D">
      <w:pPr>
        <w:pStyle w:val="ConsPlusNormal"/>
        <w:jc w:val="both"/>
      </w:pPr>
    </w:p>
    <w:p w:rsidR="00C4549D" w:rsidRDefault="00C4549D">
      <w:pPr>
        <w:pStyle w:val="ConsPlusNormal"/>
        <w:jc w:val="both"/>
      </w:pPr>
    </w:p>
    <w:p w:rsidR="00C4549D" w:rsidRDefault="00C454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0EE" w:rsidRDefault="000F70EE">
      <w:bookmarkStart w:id="0" w:name="_GoBack"/>
      <w:bookmarkEnd w:id="0"/>
    </w:p>
    <w:sectPr w:rsidR="000F70EE" w:rsidSect="00E4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9D"/>
    <w:rsid w:val="000F70EE"/>
    <w:rsid w:val="00C4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5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4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5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4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A4A7F2674929F072FE6182AFB53D12CF4E3595954DE924860D0A00D1769E3AFE9103D2F51DE810740E66B1E095AD206BFB905CF8BB6948RDu6I" TargetMode="External"/><Relationship Id="rId13" Type="http://schemas.openxmlformats.org/officeDocument/2006/relationships/hyperlink" Target="consultantplus://offline/ref=2EA4A7F2674929F072FE7E95ABB53D12CD4C359F9A47E924860D0A00D1769E3AFE9103D2F61DE11F235476B5A9C1A63F6DED8E56E6B8R6u0I" TargetMode="External"/><Relationship Id="rId18" Type="http://schemas.openxmlformats.org/officeDocument/2006/relationships/hyperlink" Target="consultantplus://offline/ref=2EA4A7F2674929F072FE6199AFB53D12CD4C369B944FE924860D0A00D1769E3AFE9103D2F51DE8167E0E66B1E095AD206BFB905CF8BB6948RDu6I" TargetMode="External"/><Relationship Id="rId26" Type="http://schemas.openxmlformats.org/officeDocument/2006/relationships/hyperlink" Target="consultantplus://offline/ref=2EA4A7F2674929F072FE618EAFB53D12CF4B36959E47E924860D0A00D1769E3AFE9103D2F51DE810760E66B1E095AD206BFB905CF8BB6948RDu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EA4A7F2674929F072FE6187B7B53D12CF4A379C9E4FE924860D0A00D1769E3AFE9103D2F51DE816720E66B1E095AD206BFB905CF8BB6948RDu6I" TargetMode="External"/><Relationship Id="rId7" Type="http://schemas.openxmlformats.org/officeDocument/2006/relationships/hyperlink" Target="consultantplus://offline/ref=2EA4A7F2674929F072FE6182AFB53D12CF4E3595954DE924860D0A00D1769E3AFE9103D2F51DE817720E66B1E095AD206BFB905CF8BB6948RDu6I" TargetMode="External"/><Relationship Id="rId12" Type="http://schemas.openxmlformats.org/officeDocument/2006/relationships/hyperlink" Target="consultantplus://offline/ref=2EA4A7F2674929F072FE7E95ABB53D12CC4F39959A48E924860D0A00D1769E3AFE9103D2F51DE91D7F0E66B1E095AD206BFB905CF8BB6948RDu6I" TargetMode="External"/><Relationship Id="rId17" Type="http://schemas.openxmlformats.org/officeDocument/2006/relationships/hyperlink" Target="consultantplus://offline/ref=2EA4A7F2674929F072FE7E95ABB53D12CD4C329A944BE924860D0A00D1769E3AFE9103D2F51DEA13740E66B1E095AD206BFB905CF8BB6948RDu6I" TargetMode="External"/><Relationship Id="rId25" Type="http://schemas.openxmlformats.org/officeDocument/2006/relationships/hyperlink" Target="consultantplus://offline/ref=2EA4A7F2674929F072FE618EAFB53D12CF4B36959E47E924860D0A00D1769E3AFE9103D2F51DE8177F0E66B1E095AD206BFB905CF8BB6948RDu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A4A7F2674929F072FE7E95ABB53D12CD4C359F9A47E924860D0A00D1769E3AFE9103D2F61DE11F235476B5A9C1A63F6DED8E56E6B8R6u0I" TargetMode="External"/><Relationship Id="rId20" Type="http://schemas.openxmlformats.org/officeDocument/2006/relationships/hyperlink" Target="consultantplus://offline/ref=2EA4A7F2674929F072FE7E95ABB53D12CD4C359F9A47E924860D0A00D1769E3AFE9103D2F51CEB147E0E66B1E095AD206BFB905CF8BB6948RDu6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A4A7F2674929F072FE6182AFB53D12CF4E3595954DE924860D0A00D1769E3AFE9103D2F51DE817730E66B1E095AD206BFB905CF8BB6948RDu6I" TargetMode="External"/><Relationship Id="rId11" Type="http://schemas.openxmlformats.org/officeDocument/2006/relationships/hyperlink" Target="consultantplus://offline/ref=2EA4A7F2674929F072FE7E95ABB53D12CC4F3894994CE924860D0A00D1769E3AEC915BDEF41BF6147F1B30E0A5RCu9I" TargetMode="External"/><Relationship Id="rId24" Type="http://schemas.openxmlformats.org/officeDocument/2006/relationships/hyperlink" Target="consultantplus://offline/ref=2EA4A7F2674929F072FE6295AFB53D12CA493995984FE924860D0A00D1769E3AFE9103D2F51DE915770E66B1E095AD206BFB905CF8BB6948RDu6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EA4A7F2674929F072FE7E95ABB53D12CD4F33989B46E924860D0A00D1769E3AFE9103D2F51AEF137C5163A4F1CDA12773E5984AE4B968R4u0I" TargetMode="External"/><Relationship Id="rId23" Type="http://schemas.openxmlformats.org/officeDocument/2006/relationships/hyperlink" Target="consultantplus://offline/ref=2EA4A7F2674929F072FE618EAFB53D12CF4B36959E47E924860D0A00D1769E3AFE9103D2F51DE816700E66B1E095AD206BFB905CF8BB6948RDu6I" TargetMode="External"/><Relationship Id="rId28" Type="http://schemas.openxmlformats.org/officeDocument/2006/relationships/hyperlink" Target="consultantplus://offline/ref=2EA4A7F2674929F072FE7E95ABB53D12CD4D309F9C4AE924860D0A00D1769E3AEC915BDEF41BF6147F1B30E0A5RCu9I" TargetMode="External"/><Relationship Id="rId10" Type="http://schemas.openxmlformats.org/officeDocument/2006/relationships/hyperlink" Target="consultantplus://offline/ref=2EA4A7F2674929F072FE6199AFB53D12CD4C36949C4CE924860D0A00D1769E3AFE9103D2F51DE812750E66B1E095AD206BFB905CF8BB6948RDu6I" TargetMode="External"/><Relationship Id="rId19" Type="http://schemas.openxmlformats.org/officeDocument/2006/relationships/hyperlink" Target="consultantplus://offline/ref=2EA4A7F2674929F072FE7E95ABB53D12CD4F33989B46E924860D0A00D1769E3AEC915BDEF41BF6147F1B30E0A5RCu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A4A7F2674929F072FE7E95ABB53D12CC4F39959A48E924860D0A00D1769E3AFE9103D2F51DE916760E66B1E095AD206BFB905CF8BB6948RDu6I" TargetMode="External"/><Relationship Id="rId14" Type="http://schemas.openxmlformats.org/officeDocument/2006/relationships/hyperlink" Target="consultantplus://offline/ref=2EA4A7F2674929F072FE7E95ABB53D12CD4C359F9A47E924860D0A00D1769E3AFE9103D0F71FE340264167EDA5C6BE2165FB9254E7RBu0I" TargetMode="External"/><Relationship Id="rId22" Type="http://schemas.openxmlformats.org/officeDocument/2006/relationships/hyperlink" Target="consultantplus://offline/ref=2EA4A7F2674929F072FE6187B7B53D12CF4A379E9C4AE924860D0A00D1769E3AFE9103D2F51DE816720E66B1E095AD206BFB905CF8BB6948RDu6I" TargetMode="External"/><Relationship Id="rId27" Type="http://schemas.openxmlformats.org/officeDocument/2006/relationships/hyperlink" Target="consultantplus://offline/ref=2EA4A7F2674929F072FE719EB5B53D12CF4F369C9D4AE924860D0A00D1769E3AFE9103D2F51DE814760E66B1E095AD206BFB905CF8BB6948RDu6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2019-08-16T08:46:00Z</dcterms:created>
  <dcterms:modified xsi:type="dcterms:W3CDTF">2019-08-16T08:46:00Z</dcterms:modified>
</cp:coreProperties>
</file>